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</w:pPr>
    </w:p>
    <w:p>
      <w:pPr>
        <w:jc w:val="center"/>
      </w:pPr>
      <w:r>
        <w:rPr>
          <w:rFonts w:ascii="Microsoft YaHei" w:cs="Microsoft YaHei" w:eastAsia="Microsoft YaHei" w:hAnsi="Microsoft YaHei"/>
          <w:b/>
          <w:bCs/>
          <w:color w:val="1F4E79"/>
          <w:sz w:val="56"/>
          <w:szCs w:val="56"/>
        </w:rPr>
        <w:t xml:space="preserve">注塑工厂订单增长策略方案</w:t>
      </w:r>
    </w:p>
    <w:p>
      <w:pPr>
        <w:spacing w:before="400"/>
      </w:pPr>
    </w:p>
    <w:p>
      <w:pPr>
        <w:jc w:val="center"/>
      </w:pPr>
      <w:r>
        <w:rPr>
          <w:rFonts w:ascii="Microsoft YaHei" w:cs="Microsoft YaHei" w:eastAsia="Microsoft YaHei" w:hAnsi="Microsoft YaHei"/>
          <w:color w:val="666666"/>
          <w:sz w:val="28"/>
          <w:szCs w:val="28"/>
        </w:rPr>
        <w:t xml:space="preserve">— 通过运营改善驱动业务增长 —</w:t>
      </w:r>
    </w:p>
    <w:p>
      <w:pPr>
        <w:spacing w:before="1500"/>
      </w:pPr>
    </w:p>
    <w:p>
      <w:pPr>
        <w:jc w:val="center"/>
      </w:pPr>
      <w:r>
        <w:rPr>
          <w:rFonts w:ascii="Microsoft YaHei" w:cs="Microsoft YaHei" w:eastAsia="Microsoft YaHei" w:hAnsi="Microsoft YaHei"/>
          <w:color w:val="666666"/>
          <w:sz w:val="24"/>
          <w:szCs w:val="24"/>
        </w:rPr>
        <w:t xml:space="preserve">文档类型：策略咨询报告</w:t>
      </w:r>
    </w:p>
    <w:p>
      <w:pPr>
        <w:spacing w:before="100"/>
        <w:jc w:val="center"/>
      </w:pPr>
      <w:r>
        <w:rPr>
          <w:rFonts w:ascii="Microsoft YaHei" w:cs="Microsoft YaHei" w:eastAsia="Microsoft YaHei" w:hAnsi="Microsoft YaHei"/>
          <w:color w:val="666666"/>
          <w:sz w:val="24"/>
          <w:szCs w:val="24"/>
        </w:rPr>
        <w:t xml:space="preserve">适用对象：注塑工厂管理层</w:t>
      </w:r>
    </w:p>
    <w:p>
      <w:pPr>
        <w:spacing w:before="100"/>
        <w:jc w:val="center"/>
      </w:pPr>
      <w:r>
        <w:rPr>
          <w:rFonts w:ascii="Microsoft YaHei" w:cs="Microsoft YaHei" w:eastAsia="Microsoft YaHei" w:hAnsi="Microsoft YaHei"/>
          <w:color w:val="666666"/>
          <w:sz w:val="24"/>
          <w:szCs w:val="24"/>
        </w:rPr>
        <w:t xml:space="preserve">编制日期：2026/1/6</w:t>
      </w:r>
    </w:p>
    <w:p>
      <w:r>
        <w:br w:type="page"/>
      </w:r>
    </w:p>
    <w:p>
      <w:pPr>
        <w:pStyle w:val="Heading1"/>
        <w:spacing w:before="300" w:after="20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一、核心理念：运营能力即竞争力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在注塑行业竞争日趋激烈的今天，工厂获取订单的能力不仅取决于价格和关系，更取决于内部运营能力。客户在选择供应商时，越来越关注以下核心指标：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510"/>
        <w:gridCol w:w="3510"/>
      </w:tblGrid>
      <w:tr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客户关注维度</w:t>
            </w:r>
          </w:p>
        </w:tc>
        <w:tc>
          <w:tcPr>
            <w:tcW w:type="dxa" w:w="351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具体表现</w:t>
            </w:r>
          </w:p>
        </w:tc>
        <w:tc>
          <w:tcPr>
            <w:tcW w:type="dxa" w:w="351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对订单的影响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交付能力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准时交付率、交期承诺准确性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直接决定客户是否敢下单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品质稳定性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不良率、品质一致性、追溯能力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影响客户复购和推荐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响应速度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报价速度、打样周期、异常处理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决定能否抓住紧急订单机会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成本竞争力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合理报价、降本空间、效率优势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在同等条件下的胜出关键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管理透明度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进度可视、问题预警、数据可查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大客户和品牌客户的基本要求</w:t>
            </w:r>
          </w:p>
        </w:tc>
      </w:tr>
    </w:tbl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b/>
          <w:bCs/>
          <w:color w:val="1F4E79"/>
          <w:sz w:val="22"/>
          <w:szCs w:val="22"/>
        </w:rPr>
        <w:t xml:space="preserve">运营改善的本质是将内部能力转化为外部竞争优势，最终体现在订单数量和质量的提升上。</w:t>
      </w:r>
    </w:p>
    <w:p>
      <w:r>
        <w:br w:type="page"/>
      </w:r>
    </w:p>
    <w:p>
      <w:pPr>
        <w:pStyle w:val="Heading1"/>
        <w:spacing w:before="300" w:after="20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二、订单增长的五大驱动力</w:t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2.1 提升准时交付率 → 客户信任度提升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现状问题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大部分注塑工厂的准时交付率在75%-85%之间，主要原因包括：排程不准确、设备故障频发、模具问题、物料短缺、品质异常返工等。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改善路径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120"/>
        <w:gridCol w:w="3900"/>
      </w:tblGrid>
      <w:tr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改善措施</w:t>
            </w:r>
          </w:p>
        </w:tc>
        <w:tc>
          <w:tcPr>
            <w:tcW w:type="dxa" w:w="312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实施要点</w:t>
            </w:r>
          </w:p>
        </w:tc>
        <w:tc>
          <w:tcPr>
            <w:tcW w:type="dxa" w:w="39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预期效果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数字化排程系统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基于实际产能和约束条件自动排程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排程准确率从60%提升至90%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设备预防性维护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基于运行数据预测故障，提前维护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非计划停机减少50%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模具状态管理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模次统计、保养提醒、寿命预警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模具故障率降低40%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订单进度可视化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实时跟踪每个订单的生产状态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问题提前发现，延误率降低</w:t>
            </w:r>
          </w:p>
        </w:tc>
      </w:tr>
    </w:tbl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订单转化逻辑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准时交付率从80%提升到95%后：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现有客户复购率提升20%-30%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客户愿意将更多份额转移过来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口碑传播带来新客户推荐</w:t>
      </w:r>
    </w:p>
    <w:p>
      <w:r>
        <w:br w:type="page"/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2.2 提升品质稳定性 → 减少客诉，增强口碑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现状问题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注塑品质问题的主要来源：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2808"/>
        <w:gridCol w:w="2808"/>
        <w:gridCol w:w="1872"/>
      </w:tblGrid>
      <w:tr>
        <w:tc>
          <w:tcPr>
            <w:tcW w:type="dxa" w:w="1872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问题类型</w:t>
            </w:r>
          </w:p>
        </w:tc>
        <w:tc>
          <w:tcPr>
            <w:tcW w:type="dxa" w:w="2808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典型表现</w:t>
            </w:r>
          </w:p>
        </w:tc>
        <w:tc>
          <w:tcPr>
            <w:tcW w:type="dxa" w:w="2808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根本原因</w:t>
            </w:r>
          </w:p>
        </w:tc>
        <w:tc>
          <w:tcPr>
            <w:tcW w:type="dxa" w:w="1872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占比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工艺波动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尺寸不稳定、外观缺陷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模温/料温/压力控制不精确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35%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原料问题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色差、杂质、性能不稳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原料混用、回料比例失控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25%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模具异常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飞边、粘模、顶白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模具磨损、保养不及时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20%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人为失误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漏检、错包、混装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培训不足、作业不规范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15%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其他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环境、设备老化等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综合因素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5%</w:t>
            </w:r>
          </w:p>
        </w:tc>
      </w:tr>
    </w:tbl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改善路径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模具温度智能管控：采用模温机集中控制+实时监测，将温度波动控制在±1℃以内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原材料追溯系统：每批原料条码管理，回料比例自动控制，实现品质问题快速追溯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CCD视觉检测：关键尺寸和外观100%在线检测，替代人工目检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SPC过程控制：关键参数实时监控，异常自动报警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订单转化逻辑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内部不良率从3%降到1%，客诉率降低60%后：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客户更愿意转移高精度、高附加值产品订单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品牌客户审厂通过率提升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从"低价供应商"转型为"品质供应商"</w:t>
      </w:r>
    </w:p>
    <w:p>
      <w:r>
        <w:br w:type="page"/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2.3 提升响应速度 → 抓住更多订单机会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响应速度的关键场景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场景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传统模式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改善后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订单影响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报价响应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3-5天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当天或次日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抢占先机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打样周期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2-3周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1周内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缩短客户决策周期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紧急插单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无法接受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灵活调配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承接高利润急单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异常处理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被动等待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主动预警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增强客户信任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交期查询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需要人工确认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系统实时查询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提升专业形象</w:t>
            </w:r>
          </w:p>
        </w:tc>
      </w:tr>
    </w:tbl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改善措施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建立快速报价模板和历史数据库，实现自动化成本估算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预留10%-15%产能作为"柔性产能"，专门应对急单和插单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异常安灯系统实现问题5分钟内响应，减少客户等待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客户Portal系统，让客户自助查询订单进度</w:t>
      </w:r>
    </w:p>
    <w:p>
      <w:r>
        <w:br w:type="page"/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2.4 提升成本竞争力 → 报价更有优势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注塑成本结构分析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1560"/>
        <w:gridCol w:w="2340"/>
        <w:gridCol w:w="3120"/>
      </w:tblGrid>
      <w:tr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成本项目</w:t>
            </w:r>
          </w:p>
        </w:tc>
        <w:tc>
          <w:tcPr>
            <w:tcW w:type="dxa" w:w="156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占比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改善潜力</w:t>
            </w:r>
          </w:p>
        </w:tc>
        <w:tc>
          <w:tcPr>
            <w:tcW w:type="dxa" w:w="312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改善手段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原材料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50-60%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5-10%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回料利用、损耗控制、批量采购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人工成本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15-20%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20-30%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自动化替代、效率提升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能源成本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8-12%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10-20%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伺服节能、模温优化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设备折旧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8-10%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OEE提升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提高设备利用率摊薄单位成本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品质损失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3-5%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50-70%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降低不良、减少返工报废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其他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5-10%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——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模具、包材、管理费用等</w:t>
            </w:r>
          </w:p>
        </w:tc>
      </w:tr>
    </w:tbl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综合降本效果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通过系统性改善，整体制造成本可降低8%-15%，意味着：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报价可以更有竞争力，同等价格下利润更高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有更大的议价空间争取大客户订单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能够承接利润较低但量大的标准件订单</w:t>
      </w:r>
    </w:p>
    <w:p>
      <w:r>
        <w:br w:type="page"/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2.5 提升管理透明度 → 满足大客户审厂要求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大客户/品牌客户的典型要求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510"/>
        <w:gridCol w:w="3510"/>
      </w:tblGrid>
      <w:tr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审核维度</w:t>
            </w:r>
          </w:p>
        </w:tc>
        <w:tc>
          <w:tcPr>
            <w:tcW w:type="dxa" w:w="351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具体要求</w:t>
            </w:r>
          </w:p>
        </w:tc>
        <w:tc>
          <w:tcPr>
            <w:tcW w:type="dxa" w:w="351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数字化解决方案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生产追溯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每个产品可追溯到原料批次、机台、操作员、工艺参数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MES系统+条码/RFID追溯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过程控制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关键工艺参数有记录、有监控、有预警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设备联网+SPC分析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品质记录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检验数据完整、可查询、防篡改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QMS品质管理系统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设备管理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设备台账、保养记录、点检记录完整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设备管理模块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现场管理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5S/6S、目视化、标准作业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电子看板+数字化巡检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数据报表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定期提供生产、品质、交付报表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BI报表自动生成</w:t>
            </w:r>
          </w:p>
        </w:tc>
      </w:tr>
    </w:tbl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订单转化逻辑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建立完善的数字化管理体系后：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通过汽车行业IATF 16949审核，进入汽车供应链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满足医疗器械、电子产品等高要求行业客户要求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从"代工厂"升级为"战略供应商"，获得长期稳定订单</w:t>
      </w:r>
    </w:p>
    <w:p>
      <w:r>
        <w:br w:type="page"/>
      </w:r>
    </w:p>
    <w:p>
      <w:pPr>
        <w:pStyle w:val="Heading1"/>
        <w:spacing w:before="300" w:after="20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三、数字化管理系统：订单增长的核心引擎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基于前面的分析，数字化管理系统是打通运营改善与订单增长的核心纽带。以下是七大模块如何直接或间接推动订单增长：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2808"/>
        <w:gridCol w:w="2496"/>
        <w:gridCol w:w="2496"/>
      </w:tblGrid>
      <w:tr>
        <w:tc>
          <w:tcPr>
            <w:tcW w:type="dxa" w:w="156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模块</w:t>
            </w:r>
          </w:p>
        </w:tc>
        <w:tc>
          <w:tcPr>
            <w:tcW w:type="dxa" w:w="2808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运营改善效果</w:t>
            </w:r>
          </w:p>
        </w:tc>
        <w:tc>
          <w:tcPr>
            <w:tcW w:type="dxa" w:w="2496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客户感知价值</w:t>
            </w:r>
          </w:p>
        </w:tc>
        <w:tc>
          <w:tcPr>
            <w:tcW w:type="dxa" w:w="2496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订单增长路径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设备工效OEE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利用率↑15%，故障↓50%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产能充足，交期可靠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承接更多订单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人机工时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人均产出↑20%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成本优势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价格竞争力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产能报工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数据准确率99%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交期承诺准确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客户信任度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异常安灯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响应&lt;5min，停机↓40%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问题快速解决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服务口碑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订单进度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准时交付↑15%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进度透明可查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复购率提升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品质管理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不良↓30%，追溯100%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品质可靠可追溯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高端客户准入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模具状态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故障↓40%，寿命↑20%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模具管理专业</w:t>
            </w:r>
          </w:p>
        </w:tc>
        <w:tc>
          <w:tcPr>
            <w:tcW w:type="dxa" w:w="249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承接精密模具</w:t>
            </w:r>
          </w:p>
        </w:tc>
      </w:tr>
    </w:tbl>
    <w:p>
      <w:r>
        <w:br w:type="page"/>
      </w:r>
    </w:p>
    <w:p>
      <w:pPr>
        <w:pStyle w:val="Heading1"/>
        <w:spacing w:before="300" w:after="20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四、订单增长的客户分层策略</w:t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4.1 客户分层模型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2184"/>
        <w:gridCol w:w="2808"/>
        <w:gridCol w:w="2808"/>
      </w:tblGrid>
      <w:tr>
        <w:tc>
          <w:tcPr>
            <w:tcW w:type="dxa" w:w="156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客户层级</w:t>
            </w:r>
          </w:p>
        </w:tc>
        <w:tc>
          <w:tcPr>
            <w:tcW w:type="dxa" w:w="2184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特征</w:t>
            </w:r>
          </w:p>
        </w:tc>
        <w:tc>
          <w:tcPr>
            <w:tcW w:type="dxa" w:w="2808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他们的痛点</w:t>
            </w:r>
          </w:p>
        </w:tc>
        <w:tc>
          <w:tcPr>
            <w:tcW w:type="dxa" w:w="2808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我们的策略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战略大客户</w:t>
            </w:r>
          </w:p>
        </w:tc>
        <w:tc>
          <w:tcPr>
            <w:tcW w:type="dxa" w:w="218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年订单&gt;500万，知名品牌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供应链安全、品质追溯、ESG合规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数字化工厂展示，定制化服务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成长型客户</w:t>
            </w:r>
          </w:p>
        </w:tc>
        <w:tc>
          <w:tcPr>
            <w:tcW w:type="dxa" w:w="218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年订单100-500万，快速发展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交期稳定、快速响应、性价比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准时交付承诺，柔性产能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标准型客户</w:t>
            </w:r>
          </w:p>
        </w:tc>
        <w:tc>
          <w:tcPr>
            <w:tcW w:type="dxa" w:w="218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年订单&lt;100万，订单稳定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价格敏感、基本品质要求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效率驱动的成本优势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机会型客户</w:t>
            </w:r>
          </w:p>
        </w:tc>
        <w:tc>
          <w:tcPr>
            <w:tcW w:type="dxa" w:w="218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急单、试单、临时需求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快速响应、灵活配合</w:t>
            </w:r>
          </w:p>
        </w:tc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柔性产能、快速报价</w:t>
            </w:r>
          </w:p>
        </w:tc>
      </w:tr>
    </w:tbl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4.2 不同客户的订单增长策略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战略大客户：深化合作，增加份额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邀请客户参观数字化车间，展示管理能力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主动提供生产数据报表，增强透明度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配合客户的供应商评级体系，争取A级供应商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目标：从现有供应商份额20%提升到40%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成长型客户：建立信任，扩大合作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通过准时交付建立信任基础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主动承接客户的新品开发项目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提供技术支持和改善建议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目标：随客户成长，订单同步增长</w:t>
      </w:r>
    </w:p>
    <w:p>
      <w:pPr>
        <w:pStyle w:val="Heading3"/>
        <w:spacing w:before="200" w:after="100"/>
      </w:pPr>
      <w:r>
        <w:rPr>
          <w:rFonts w:ascii="Microsoft YaHei" w:cs="Microsoft YaHei" w:eastAsia="Microsoft YaHei" w:hAnsi="Microsoft YaHei"/>
          <w:b/>
          <w:bCs/>
          <w:color w:val="404040"/>
          <w:sz w:val="24"/>
          <w:szCs w:val="24"/>
        </w:rPr>
        <w:t xml:space="preserve">标准型客户：效率制胜，稳定合作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通过效率提升保持价格竞争力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标准化流程降低服务成本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目标：保持稳定合作，提高利润率</w:t>
      </w:r>
    </w:p>
    <w:p>
      <w:r>
        <w:br w:type="page"/>
      </w:r>
    </w:p>
    <w:p>
      <w:pPr>
        <w:pStyle w:val="Heading1"/>
        <w:spacing w:before="300" w:after="20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五、业务拓展的具体行动计划</w:t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5.1 内部能力建设（3-6个月）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0"/>
        <w:gridCol w:w="2340"/>
        <w:gridCol w:w="3900"/>
        <w:gridCol w:w="2340"/>
      </w:tblGrid>
      <w:tr>
        <w:tc>
          <w:tcPr>
            <w:tcW w:type="dxa" w:w="78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行动项</w:t>
            </w:r>
          </w:p>
        </w:tc>
        <w:tc>
          <w:tcPr>
            <w:tcW w:type="dxa" w:w="39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具体措施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负责部门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数字化系统上线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MES+设备联网+电子看板，实现生产透明化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IT/生产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品质能力提升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CCD检测上线、SPC系统部署、追溯体系建立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品质部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3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交付能力改善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APS排程系统、模具预防维护、柔性产能规划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计划/设备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4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成本优化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自动化改造、能源管理、原料损耗控制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生产/采购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团队能力建设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培训体系、绩效考核、激励机制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人力资源</w:t>
            </w:r>
          </w:p>
        </w:tc>
      </w:tr>
    </w:tbl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5.2 客户开发行动（持续进行）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0"/>
        <w:gridCol w:w="2340"/>
        <w:gridCol w:w="3900"/>
        <w:gridCol w:w="2340"/>
      </w:tblGrid>
      <w:tr>
        <w:tc>
          <w:tcPr>
            <w:tcW w:type="dxa" w:w="78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行动项</w:t>
            </w:r>
          </w:p>
        </w:tc>
        <w:tc>
          <w:tcPr>
            <w:tcW w:type="dxa" w:w="39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具体措施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负责部门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现有客户深耕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定期回访、提供改善数据报告、主动提案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销售/客服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案例包装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整理成功案例、制作宣传材料、数据可视化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市场部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3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展会/活动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参加行业展会、智能制造论坛、供应商大会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市场/销售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4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渠道合作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与注塑机厂商、MES供应商建立合作推荐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业务拓展</w:t>
            </w:r>
          </w:p>
        </w:tc>
      </w:tr>
      <w:tr>
        <w:tc>
          <w:tcPr>
            <w:tcW w:type="dxa" w:w="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行业认证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IATF 16949、ISO 13485等行业准入认证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品质部</w:t>
            </w:r>
          </w:p>
        </w:tc>
      </w:tr>
    </w:tbl>
    <w:p>
      <w:r>
        <w:br w:type="page"/>
      </w:r>
    </w:p>
    <w:p>
      <w:pPr>
        <w:pStyle w:val="Heading1"/>
        <w:spacing w:before="300" w:after="20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六、预期效果与投资回报</w:t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6.1 订单增长预期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时间节点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订单增长来源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预期增长率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实现路径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第1年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现有客户份额提升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+10%-15%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交付改善→复购增加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第2年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新客户开发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+15%-20%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口碑传播→新客户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第3年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客户结构优化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+10%-15%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高端客户→利润提升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累计3年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——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+40%-55%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复合增长</w:t>
            </w:r>
          </w:p>
        </w:tc>
      </w:tr>
    </w:tbl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6.2 投资回报分析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投资项目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投资金额(万元)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年化收益(万元)</w:t>
            </w:r>
          </w:p>
        </w:tc>
        <w:tc>
          <w:tcPr>
            <w:tcW w:type="dxa" w:w="234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回收期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数字化系统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50-100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30-60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1.5-2年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自动化改造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100-300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50-120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2-3年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品质设备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30-80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20-50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1.5-2年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综合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180-480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100-230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2-2.5年</w:t>
            </w:r>
          </w:p>
        </w:tc>
      </w:tr>
    </w:tbl>
    <w:p>
      <w:r>
        <w:br w:type="page"/>
      </w:r>
    </w:p>
    <w:p>
      <w:pPr>
        <w:pStyle w:val="Heading1"/>
        <w:spacing w:before="300" w:after="20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七、总结与建议</w:t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7.1 核心结论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b/>
          <w:bCs/>
          <w:sz w:val="22"/>
          <w:szCs w:val="22"/>
        </w:rPr>
        <w:t xml:space="preserve">注塑工厂订单增长的本质是"内部运营能力外化为客户价值"：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准时交付 → 客户信任 → 复购与转介绍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品质稳定 → 减少客诉 → 口碑传播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快速响应 → 抓住机会 → 增量订单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成本优势 → 价格竞争力 → 市场份额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管理透明 → 满足审核 → 高端客户准入</w:t>
      </w:r>
    </w:p>
    <w:p>
      <w:pPr>
        <w:pStyle w:val="Heading2"/>
        <w:spacing w:before="250" w:after="150"/>
      </w:pPr>
      <w:r>
        <w:rPr>
          <w:rFonts w:ascii="Microsoft YaHei" w:cs="Microsoft YaHei" w:eastAsia="Microsoft YaHei" w:hAnsi="Microsoft YaHei"/>
          <w:b/>
          <w:bCs/>
          <w:color w:val="2E75B6"/>
          <w:sz w:val="28"/>
          <w:szCs w:val="28"/>
        </w:rPr>
        <w:t xml:space="preserve">7.2 行动建议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3900"/>
        <w:gridCol w:w="3900"/>
      </w:tblGrid>
      <w:tr>
        <w:tc>
          <w:tcPr>
            <w:tcW w:type="dxa" w:w="156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优先级</w:t>
            </w:r>
          </w:p>
        </w:tc>
        <w:tc>
          <w:tcPr>
            <w:tcW w:type="dxa" w:w="39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行动项</w:t>
            </w:r>
          </w:p>
        </w:tc>
        <w:tc>
          <w:tcPr>
            <w:tcW w:type="dxa" w:w="39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预期效果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★★★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数字化管理系统建设（MES+设备联网）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打通数据孤岛，实现管理可视化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★★★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准时交付率专项改善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客户满意度提升，直接拉动复购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★★☆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品质追溯体系建设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满足大客户审核要求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★★☆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自动化改造（周边设备）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降本增效，提升价格竞争力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★☆☆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客户Portal系统</w:t>
            </w:r>
          </w:p>
        </w:tc>
        <w:tc>
          <w:tcPr>
            <w:tcW w:type="dxa" w:w="3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icrosoft YaHei" w:cs="Microsoft YaHei" w:eastAsia="Microsoft YaHei" w:hAnsi="Microsoft YaHei"/>
                <w:sz w:val="21"/>
                <w:szCs w:val="21"/>
              </w:rPr>
              <w:t xml:space="preserve">增强客户体验，提升专业形象</w:t>
            </w:r>
          </w:p>
        </w:tc>
      </w:tr>
    </w:tbl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b/>
          <w:bCs/>
          <w:color w:val="1F4E79"/>
          <w:sz w:val="22"/>
          <w:szCs w:val="22"/>
        </w:rPr>
        <w:t xml:space="preserve">运营改善不是成本，而是投资。每一分钱投入到能力建设上，最终都会通过订单增长获得回报。</w:t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/>
      </w:r>
    </w:p>
    <w:p>
      <w:pPr>
        <w:spacing w:before="120" w:after="120"/>
      </w:pPr>
      <w:r>
        <w:rPr>
          <w:rFonts w:ascii="Microsoft YaHei" w:cs="Microsoft YaHei" w:eastAsia="Microsoft YaHei" w:hAnsi="Microsoft YaHei"/>
          <w:color w:val="666666"/>
          <w:sz w:val="22"/>
          <w:szCs w:val="22"/>
        </w:rPr>
        <w:t xml:space="preserve">—— 报告完 ——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00" w:after="200"/>
      <w:outlineLvl w:val="0"/>
    </w:pPr>
    <w:rPr>
      <w:rFonts w:ascii="Microsoft YaHei" w:cs="Microsoft YaHei" w:eastAsia="Microsoft YaHei" w:hAnsi="Microsoft YaHei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50" w:after="150"/>
      <w:outlineLvl w:val="1"/>
    </w:pPr>
    <w:rPr>
      <w:rFonts w:ascii="Microsoft YaHei" w:cs="Microsoft YaHei" w:eastAsia="Microsoft YaHei" w:hAnsi="Microsoft YaHei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  <w:outlineLvl w:val="2"/>
    </w:pPr>
    <w:rPr>
      <w:rFonts w:ascii="Microsoft YaHei" w:cs="Microsoft YaHei" w:eastAsia="Microsoft YaHei" w:hAnsi="Microsoft YaHei"/>
      <w:b/>
      <w:bCs/>
      <w:color w:val="4040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2026-01-06T08:04:30.058Z</dcterms:created>
  <dcterms:modified xsi:type="dcterms:W3CDTF">2026-01-06T08:04:30.058Z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